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B8" w:rsidRPr="00A63620" w:rsidRDefault="00A63620" w:rsidP="00A63620">
      <w:pPr>
        <w:jc w:val="center"/>
        <w:rPr>
          <w:rFonts w:ascii="Times New Roman" w:eastAsia="맑은 고딕" w:hAnsi="Times New Roman" w:cs="Times New Roman"/>
          <w:b/>
          <w:color w:val="222222"/>
          <w:sz w:val="32"/>
          <w:szCs w:val="32"/>
          <w:shd w:val="clear" w:color="auto" w:fill="FFFFFF"/>
          <w:lang w:eastAsia="ko-KR"/>
        </w:rPr>
      </w:pPr>
      <w:r w:rsidRPr="00A63620">
        <w:rPr>
          <w:rFonts w:ascii="Times New Roman" w:eastAsia="맑은 고딕" w:hAnsi="Times New Roman" w:cs="Times New Roman"/>
          <w:b/>
          <w:color w:val="222222"/>
          <w:sz w:val="32"/>
          <w:szCs w:val="32"/>
          <w:shd w:val="clear" w:color="auto" w:fill="FFFFFF"/>
          <w:lang w:eastAsia="ko-KR"/>
        </w:rPr>
        <w:t>Using the differential senescence pattern of rice subspecies to increase rice productivity</w:t>
      </w:r>
    </w:p>
    <w:p w:rsidR="00A63620" w:rsidRPr="00A63620" w:rsidRDefault="00A63620" w:rsidP="002817B8">
      <w:pPr>
        <w:jc w:val="left"/>
        <w:rPr>
          <w:rFonts w:ascii="Times New Roman" w:eastAsia="맑은 고딕" w:hAnsi="Times New Roman" w:cs="Times New Roman"/>
          <w:b/>
          <w:color w:val="222222"/>
          <w:sz w:val="22"/>
          <w:shd w:val="clear" w:color="auto" w:fill="FFFFFF"/>
          <w:lang w:eastAsia="ko-KR"/>
        </w:rPr>
      </w:pPr>
    </w:p>
    <w:p w:rsidR="00A63620" w:rsidRPr="00B2004C" w:rsidRDefault="00A63620" w:rsidP="002817B8">
      <w:pPr>
        <w:jc w:val="left"/>
        <w:rPr>
          <w:rFonts w:ascii="Times New Roman" w:eastAsia="AdvOT1ef757c0" w:hAnsi="Times New Roman" w:cs="Times New Roman"/>
          <w:kern w:val="0"/>
          <w:sz w:val="22"/>
        </w:rPr>
      </w:pPr>
      <w:bookmarkStart w:id="0" w:name="_GoBack"/>
      <w:bookmarkEnd w:id="0"/>
    </w:p>
    <w:p w:rsidR="002817B8" w:rsidRPr="00A63620" w:rsidRDefault="002817B8" w:rsidP="00281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620">
        <w:rPr>
          <w:rFonts w:ascii="Times New Roman" w:hAnsi="Times New Roman" w:cs="Times New Roman"/>
          <w:b/>
          <w:sz w:val="28"/>
          <w:szCs w:val="28"/>
        </w:rPr>
        <w:t>Sichul</w:t>
      </w:r>
      <w:proofErr w:type="spellEnd"/>
      <w:r w:rsidRPr="00A63620">
        <w:rPr>
          <w:rFonts w:ascii="Times New Roman" w:hAnsi="Times New Roman" w:cs="Times New Roman"/>
          <w:b/>
          <w:sz w:val="28"/>
          <w:szCs w:val="28"/>
        </w:rPr>
        <w:t xml:space="preserve"> Lee</w:t>
      </w:r>
    </w:p>
    <w:p w:rsidR="002817B8" w:rsidRPr="00A63620" w:rsidRDefault="00A63620" w:rsidP="00A63620">
      <w:pPr>
        <w:jc w:val="center"/>
        <w:rPr>
          <w:rFonts w:ascii="Times New Roman" w:eastAsia="Times New Roman" w:hAnsi="Times New Roman"/>
          <w:sz w:val="22"/>
        </w:rPr>
      </w:pPr>
      <w:r w:rsidRPr="00A63620">
        <w:rPr>
          <w:rFonts w:ascii="Times New Roman" w:eastAsia="Times New Roman" w:hAnsi="Times New Roman"/>
          <w:color w:val="000000"/>
          <w:sz w:val="22"/>
        </w:rPr>
        <w:t>Directo</w:t>
      </w:r>
      <w:r w:rsidRPr="00A63620">
        <w:rPr>
          <w:rFonts w:ascii="Times New Roman" w:eastAsia="Times New Roman" w:hAnsi="Times New Roman" w:hint="eastAsia"/>
          <w:color w:val="000000"/>
          <w:sz w:val="22"/>
        </w:rPr>
        <w:t xml:space="preserve">r, </w:t>
      </w:r>
      <w:r w:rsidRPr="00A63620">
        <w:rPr>
          <w:rFonts w:ascii="Times New Roman" w:eastAsia="Times New Roman" w:hAnsi="Times New Roman"/>
          <w:color w:val="000000"/>
          <w:sz w:val="22"/>
        </w:rPr>
        <w:t>Metabolic Engineering Division,</w:t>
      </w:r>
      <w:r w:rsidRPr="00A63620">
        <w:rPr>
          <w:rFonts w:ascii="Times New Roman" w:eastAsia="Times New Roman" w:hAnsi="Times New Roman"/>
          <w:sz w:val="22"/>
        </w:rPr>
        <w:t xml:space="preserve"> Department of Agricultural Biotechnology, National Institute of Agricultural Sciences</w:t>
      </w:r>
    </w:p>
    <w:p w:rsidR="00A63620" w:rsidRDefault="00A63620" w:rsidP="00A63620">
      <w:pPr>
        <w:jc w:val="center"/>
        <w:rPr>
          <w:rFonts w:ascii="Times New Roman" w:eastAsia="AdvOT1ef757c0" w:hAnsi="Times New Roman" w:cs="Times New Roman"/>
          <w:kern w:val="0"/>
          <w:sz w:val="22"/>
        </w:rPr>
      </w:pPr>
    </w:p>
    <w:p w:rsidR="00A63620" w:rsidRPr="002817B8" w:rsidRDefault="00A63620" w:rsidP="00A63620">
      <w:pPr>
        <w:jc w:val="center"/>
        <w:rPr>
          <w:rFonts w:ascii="Times New Roman" w:eastAsia="AdvOT1ef757c0" w:hAnsi="Times New Roman" w:cs="Times New Roman" w:hint="eastAsia"/>
          <w:kern w:val="0"/>
          <w:sz w:val="22"/>
        </w:rPr>
      </w:pPr>
    </w:p>
    <w:p w:rsidR="002817B8" w:rsidRPr="002817B8" w:rsidRDefault="002817B8" w:rsidP="002817B8">
      <w:pPr>
        <w:jc w:val="left"/>
        <w:rPr>
          <w:rFonts w:ascii="Times New Roman" w:hAnsi="Times New Roman" w:cs="Times New Roman"/>
          <w:b/>
          <w:sz w:val="22"/>
        </w:rPr>
      </w:pPr>
      <w:r w:rsidRPr="002817B8">
        <w:rPr>
          <w:rFonts w:ascii="Times New Roman" w:hAnsi="Times New Roman" w:cs="Times New Roman"/>
          <w:b/>
          <w:sz w:val="22"/>
        </w:rPr>
        <w:t>Abstract</w:t>
      </w:r>
    </w:p>
    <w:p w:rsidR="007C4ADC" w:rsidRPr="002817B8" w:rsidRDefault="002817B8" w:rsidP="002817B8">
      <w:pPr>
        <w:jc w:val="left"/>
        <w:rPr>
          <w:rFonts w:ascii="Times New Roman" w:eastAsia="Yu Mincho" w:hAnsi="Times New Roman" w:cs="Times New Roman"/>
          <w:sz w:val="22"/>
        </w:rPr>
      </w:pPr>
      <w:r w:rsidRPr="002817B8">
        <w:rPr>
          <w:rFonts w:ascii="Times New Roman" w:hAnsi="Times New Roman" w:cs="Times New Roman"/>
          <w:sz w:val="22"/>
        </w:rPr>
        <w:t xml:space="preserve">Increased grain yield will be critical to meet the growing demand for food, and could be achieved by delaying crop senescence. </w:t>
      </w:r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Two major subspecies of rice, </w:t>
      </w:r>
      <w:proofErr w:type="spellStart"/>
      <w:r w:rsidRPr="002817B8">
        <w:rPr>
          <w:rFonts w:ascii="Times New Roman" w:hAnsi="Times New Roman" w:cs="Times New Roman"/>
          <w:i/>
          <w:color w:val="000000" w:themeColor="text1"/>
          <w:sz w:val="22"/>
        </w:rPr>
        <w:t>indica</w:t>
      </w:r>
      <w:proofErr w:type="spellEnd"/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 and </w:t>
      </w:r>
      <w:r w:rsidRPr="002817B8">
        <w:rPr>
          <w:rFonts w:ascii="Times New Roman" w:hAnsi="Times New Roman" w:cs="Times New Roman"/>
          <w:i/>
          <w:color w:val="000000" w:themeColor="text1"/>
          <w:sz w:val="22"/>
        </w:rPr>
        <w:t>japonica</w:t>
      </w:r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, show drastic differences in leaf senescence, with the former showing earlier than the latter. </w:t>
      </w:r>
      <w:r w:rsidRPr="002817B8">
        <w:rPr>
          <w:rFonts w:ascii="Times New Roman" w:eastAsia="맑은 고딕" w:hAnsi="Times New Roman" w:cs="Times New Roman"/>
          <w:color w:val="000000" w:themeColor="text1"/>
          <w:sz w:val="22"/>
          <w:lang w:eastAsia="ko-KR"/>
        </w:rPr>
        <w:t>Here, q</w:t>
      </w:r>
      <w:r w:rsidRPr="002817B8">
        <w:rPr>
          <w:rFonts w:ascii="Times New Roman" w:hAnsi="Times New Roman" w:cs="Times New Roman"/>
          <w:sz w:val="22"/>
        </w:rPr>
        <w:t xml:space="preserve">uantitative trait locus (QTL) mapping was used to discover the genetic mechanisms underlying distinct life cycles and senescence </w:t>
      </w:r>
      <w:r w:rsidR="00DE37F2">
        <w:rPr>
          <w:rFonts w:ascii="Times New Roman" w:hAnsi="Times New Roman" w:cs="Times New Roman"/>
          <w:sz w:val="22"/>
        </w:rPr>
        <w:t>patterns of two rice subspecies</w:t>
      </w:r>
      <w:r w:rsidRPr="002817B8">
        <w:rPr>
          <w:rFonts w:ascii="Times New Roman" w:hAnsi="Times New Roman" w:cs="Times New Roman"/>
          <w:sz w:val="22"/>
        </w:rPr>
        <w:t xml:space="preserve">. </w:t>
      </w:r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We found that variations of the promoter but not the coding region of the </w:t>
      </w:r>
      <w:r w:rsidRPr="002817B8">
        <w:rPr>
          <w:rFonts w:ascii="Times New Roman" w:hAnsi="Times New Roman" w:cs="Times New Roman"/>
          <w:i/>
          <w:color w:val="000000" w:themeColor="text1"/>
          <w:sz w:val="22"/>
        </w:rPr>
        <w:t>Stay-Green</w:t>
      </w:r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proofErr w:type="spellStart"/>
      <w:r w:rsidRPr="002817B8">
        <w:rPr>
          <w:rFonts w:ascii="Times New Roman" w:hAnsi="Times New Roman" w:cs="Times New Roman"/>
          <w:i/>
          <w:color w:val="000000" w:themeColor="text1"/>
          <w:sz w:val="22"/>
        </w:rPr>
        <w:t>OsSGR</w:t>
      </w:r>
      <w:proofErr w:type="spellEnd"/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) gene on chromosome 9 are responsible for shorter lifespans of </w:t>
      </w:r>
      <w:proofErr w:type="spellStart"/>
      <w:r w:rsidRPr="002817B8">
        <w:rPr>
          <w:rFonts w:ascii="Times New Roman" w:hAnsi="Times New Roman" w:cs="Times New Roman"/>
          <w:i/>
          <w:color w:val="000000" w:themeColor="text1"/>
          <w:sz w:val="22"/>
        </w:rPr>
        <w:t>indica</w:t>
      </w:r>
      <w:proofErr w:type="spellEnd"/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 rice through earlier and higher induction of </w:t>
      </w:r>
      <w:proofErr w:type="spellStart"/>
      <w:r w:rsidRPr="002817B8">
        <w:rPr>
          <w:rFonts w:ascii="Times New Roman" w:hAnsi="Times New Roman" w:cs="Times New Roman"/>
          <w:i/>
          <w:color w:val="000000" w:themeColor="text1"/>
          <w:sz w:val="22"/>
        </w:rPr>
        <w:t>OsSGR</w:t>
      </w:r>
      <w:proofErr w:type="spellEnd"/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 encoding chlorophyll-degrading Mg</w:t>
      </w:r>
      <w:r w:rsidRPr="002817B8">
        <w:rPr>
          <w:rFonts w:ascii="Times New Roman" w:hAnsi="Times New Roman" w:cs="Times New Roman"/>
          <w:color w:val="000000" w:themeColor="text1"/>
          <w:sz w:val="22"/>
          <w:vertAlign w:val="superscript"/>
        </w:rPr>
        <w:t>++</w:t>
      </w:r>
      <w:r w:rsidRPr="002817B8">
        <w:rPr>
          <w:rFonts w:ascii="Times New Roman" w:hAnsi="Times New Roman" w:cs="Times New Roman"/>
          <w:color w:val="000000" w:themeColor="text1"/>
          <w:sz w:val="22"/>
        </w:rPr>
        <w:t>-</w:t>
      </w:r>
      <w:proofErr w:type="spellStart"/>
      <w:r w:rsidRPr="002817B8">
        <w:rPr>
          <w:rFonts w:ascii="Times New Roman" w:hAnsi="Times New Roman" w:cs="Times New Roman"/>
          <w:color w:val="000000" w:themeColor="text1"/>
          <w:sz w:val="22"/>
        </w:rPr>
        <w:t>dechetalase</w:t>
      </w:r>
      <w:proofErr w:type="spellEnd"/>
      <w:r w:rsidRPr="002817B8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Pr="002817B8">
        <w:rPr>
          <w:rFonts w:ascii="Times New Roman" w:hAnsi="Times New Roman" w:cs="Times New Roman"/>
          <w:i/>
          <w:sz w:val="22"/>
        </w:rPr>
        <w:t>Japonica</w:t>
      </w:r>
      <w:r w:rsidRPr="002817B8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817B8">
        <w:rPr>
          <w:rFonts w:ascii="Times New Roman" w:hAnsi="Times New Roman" w:cs="Times New Roman"/>
          <w:i/>
          <w:sz w:val="22"/>
        </w:rPr>
        <w:t>OsSGR</w:t>
      </w:r>
      <w:proofErr w:type="spellEnd"/>
      <w:r w:rsidRPr="002817B8">
        <w:rPr>
          <w:rFonts w:ascii="Times New Roman" w:hAnsi="Times New Roman" w:cs="Times New Roman"/>
          <w:sz w:val="22"/>
        </w:rPr>
        <w:t xml:space="preserve"> alleles </w:t>
      </w:r>
      <w:proofErr w:type="spellStart"/>
      <w:r w:rsidRPr="002817B8">
        <w:rPr>
          <w:rFonts w:ascii="Times New Roman" w:hAnsi="Times New Roman" w:cs="Times New Roman"/>
          <w:sz w:val="22"/>
        </w:rPr>
        <w:t>introgressed</w:t>
      </w:r>
      <w:proofErr w:type="spellEnd"/>
      <w:r w:rsidRPr="002817B8">
        <w:rPr>
          <w:rFonts w:ascii="Times New Roman" w:hAnsi="Times New Roman" w:cs="Times New Roman"/>
          <w:sz w:val="22"/>
        </w:rPr>
        <w:t xml:space="preserve"> into </w:t>
      </w:r>
      <w:proofErr w:type="spellStart"/>
      <w:r w:rsidRPr="002817B8">
        <w:rPr>
          <w:rFonts w:ascii="Times New Roman" w:hAnsi="Times New Roman" w:cs="Times New Roman"/>
          <w:i/>
          <w:sz w:val="22"/>
        </w:rPr>
        <w:t>indica</w:t>
      </w:r>
      <w:proofErr w:type="spellEnd"/>
      <w:r w:rsidRPr="002817B8">
        <w:rPr>
          <w:rFonts w:ascii="Times New Roman" w:hAnsi="Times New Roman" w:cs="Times New Roman"/>
          <w:sz w:val="22"/>
        </w:rPr>
        <w:t>-type cultivars in Korean rice fields lead to delayed senescence, with</w:t>
      </w:r>
      <w:r w:rsidR="00DE37F2">
        <w:rPr>
          <w:rFonts w:ascii="Times New Roman" w:hAnsi="Times New Roman" w:cs="Times New Roman"/>
          <w:sz w:val="22"/>
        </w:rPr>
        <w:t xml:space="preserve"> the</w:t>
      </w:r>
      <w:r w:rsidRPr="002817B8">
        <w:rPr>
          <w:rFonts w:ascii="Times New Roman" w:hAnsi="Times New Roman" w:cs="Times New Roman"/>
          <w:sz w:val="22"/>
        </w:rPr>
        <w:t xml:space="preserve"> </w:t>
      </w:r>
      <w:r w:rsidR="00DE37F2" w:rsidRPr="002817B8">
        <w:rPr>
          <w:rFonts w:ascii="Times New Roman" w:hAnsi="Times New Roman" w:cs="Times New Roman"/>
          <w:sz w:val="22"/>
        </w:rPr>
        <w:t xml:space="preserve">enhanced </w:t>
      </w:r>
      <w:r w:rsidR="00DE37F2">
        <w:rPr>
          <w:rFonts w:ascii="Times New Roman" w:hAnsi="Times New Roman" w:cs="Times New Roman"/>
          <w:sz w:val="22"/>
        </w:rPr>
        <w:t xml:space="preserve">photosynthetic capacity and grain filling rate, leading to </w:t>
      </w:r>
      <w:r w:rsidR="00DE37F2" w:rsidRPr="002817B8">
        <w:rPr>
          <w:rFonts w:ascii="Times New Roman" w:hAnsi="Times New Roman" w:cs="Times New Roman"/>
          <w:sz w:val="22"/>
        </w:rPr>
        <w:t>increased grain yield</w:t>
      </w:r>
      <w:r w:rsidRPr="002817B8">
        <w:rPr>
          <w:rFonts w:ascii="Times New Roman" w:hAnsi="Times New Roman" w:cs="Times New Roman"/>
          <w:sz w:val="22"/>
        </w:rPr>
        <w:t xml:space="preserve">. Taken together, </w:t>
      </w:r>
      <w:r w:rsidR="00DE37F2">
        <w:rPr>
          <w:rFonts w:ascii="Times New Roman" w:hAnsi="Times New Roman" w:cs="Times New Roman"/>
          <w:sz w:val="22"/>
        </w:rPr>
        <w:t>our</w:t>
      </w:r>
      <w:r w:rsidRPr="002817B8">
        <w:rPr>
          <w:rFonts w:ascii="Times New Roman" w:hAnsi="Times New Roman" w:cs="Times New Roman"/>
          <w:sz w:val="22"/>
        </w:rPr>
        <w:t xml:space="preserve"> data </w:t>
      </w:r>
      <w:r w:rsidR="00DE37F2">
        <w:rPr>
          <w:rFonts w:ascii="Times New Roman" w:hAnsi="Times New Roman" w:cs="Times New Roman"/>
          <w:sz w:val="22"/>
        </w:rPr>
        <w:t>suggest</w:t>
      </w:r>
      <w:r w:rsidRPr="002817B8">
        <w:rPr>
          <w:rFonts w:ascii="Times New Roman" w:hAnsi="Times New Roman" w:cs="Times New Roman"/>
          <w:sz w:val="22"/>
        </w:rPr>
        <w:t xml:space="preserve"> that naturally occurring </w:t>
      </w:r>
      <w:proofErr w:type="spellStart"/>
      <w:r w:rsidRPr="002817B8">
        <w:rPr>
          <w:rFonts w:ascii="Times New Roman" w:hAnsi="Times New Roman" w:cs="Times New Roman"/>
          <w:i/>
          <w:sz w:val="22"/>
        </w:rPr>
        <w:t>OsSGR</w:t>
      </w:r>
      <w:proofErr w:type="spellEnd"/>
      <w:r w:rsidRPr="002817B8">
        <w:rPr>
          <w:rFonts w:ascii="Times New Roman" w:hAnsi="Times New Roman" w:cs="Times New Roman"/>
          <w:sz w:val="22"/>
        </w:rPr>
        <w:t xml:space="preserve"> promoter and related lifespan variations can be exploited in breeding programs to augment rice yield.</w:t>
      </w:r>
    </w:p>
    <w:sectPr w:rsidR="007C4ADC" w:rsidRPr="00281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">
    <w:altName w:val="맑은 고딕"/>
    <w:panose1 w:val="00000000000000000000"/>
    <w:charset w:val="81"/>
    <w:family w:val="auto"/>
    <w:notTrueType/>
    <w:pitch w:val="default"/>
    <w:sig w:usb0="00000001" w:usb1="09070000" w:usb2="00000010" w:usb3="00000000" w:csb0="000A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2817B8"/>
    <w:rsid w:val="00377976"/>
    <w:rsid w:val="00637BD2"/>
    <w:rsid w:val="008F5E54"/>
    <w:rsid w:val="00A63620"/>
    <w:rsid w:val="00B2004C"/>
    <w:rsid w:val="00D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5CE0"/>
  <w15:chartTrackingRefBased/>
  <w15:docId w15:val="{9D10E700-FF34-4BF2-8110-99138A9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B8"/>
    <w:pPr>
      <w:widowControl w:val="0"/>
      <w:spacing w:after="0" w:line="240" w:lineRule="auto"/>
    </w:pPr>
    <w:rPr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dcterms:created xsi:type="dcterms:W3CDTF">2023-10-29T13:33:00Z</dcterms:created>
  <dcterms:modified xsi:type="dcterms:W3CDTF">2023-10-29T13:33:00Z</dcterms:modified>
</cp:coreProperties>
</file>